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color w:val="auto"/>
          <w:spacing w:val="6"/>
          <w:kern w:val="32"/>
          <w:sz w:val="44"/>
          <w:szCs w:val="44"/>
          <w:highlight w:val="none"/>
          <w:u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spacing w:val="6"/>
          <w:kern w:val="32"/>
          <w:sz w:val="44"/>
          <w:szCs w:val="44"/>
          <w:u w:val="none"/>
          <w:shd w:val="clear" w:color="auto" w:fill="auto"/>
          <w:lang w:val="en-US" w:eastAsia="zh-CN" w:bidi="ar-SA"/>
        </w:rPr>
        <w:t>中山市文明单位候选名单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32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336" w:lineRule="auto"/>
        <w:ind w:left="0" w:leftChars="0" w:firstLine="664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中华人民共和国中山海关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336" w:lineRule="auto"/>
        <w:ind w:left="0" w:leftChars="0" w:firstLine="664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中山市发展和改革局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336" w:lineRule="auto"/>
        <w:ind w:left="0" w:leftChars="0" w:firstLine="664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中山市交通运输局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336" w:lineRule="auto"/>
        <w:ind w:left="0" w:leftChars="0" w:firstLine="664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中山市卫生健康局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336" w:lineRule="auto"/>
        <w:ind w:left="0" w:leftChars="0" w:firstLine="664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中山市市场监督管理局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336" w:lineRule="auto"/>
        <w:ind w:left="0" w:leftChars="0" w:firstLine="664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中山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市总工会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336" w:lineRule="auto"/>
        <w:ind w:left="0" w:leftChars="0" w:firstLine="664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中山市人民政府东区街道办事处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336" w:lineRule="auto"/>
        <w:ind w:left="0" w:leftChars="0" w:firstLine="664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国家税务总局火炬开发区税务局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336" w:lineRule="auto"/>
        <w:ind w:left="0" w:leftChars="0" w:firstLine="664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</w:rPr>
        <w:t>中山市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沙溪镇综合行政执法局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336" w:lineRule="auto"/>
        <w:ind w:left="0" w:leftChars="0" w:firstLine="664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中山市三乡消防救援站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336" w:lineRule="auto"/>
        <w:ind w:left="0" w:leftChars="0" w:firstLine="664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中山市人力资源和社会保障局坦洲分局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336" w:lineRule="auto"/>
        <w:ind w:left="0" w:leftChars="0" w:firstLine="664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</w:rPr>
        <w:t>中山市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神湾镇公共服务办公室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中山市教育技术中心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中山市救助管理站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中山市不动产登记中心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中山市文化馆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中山市人民医院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中山市公共资源交易中心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中山市青少年活动中心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中山市妇女儿童活动中心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中国中山（灯饰）知识产权快速维权中心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中山市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横栏镇城市更新和建设服务中心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中山公用水务有限公司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中山温泉股份有限公司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中山火炬工业集团有限公司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中山市石岐区市政环境服务有限公司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中山市华南现代中医药城发展有限公司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中山农村商业银行股份有限公司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明阳智慧能源集团股份公司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完美（中国）有限公司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中山市荔景苑文化服务有限公司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蒂升电梯（中国）有限公司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奥美森智能装备股份有限公司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读书郎教育科技有限公司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中山市悦辰电子实业有限公司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中山市荣电电器有限公司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广东格美淇电器有限公司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中山东菱威力电器有限公司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广东皮阿诺科学艺术家居股份有限公司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中山菲力特新材料科技有限公司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中山市万谷菜篮子广场投资管理有限公司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中山市石岐街道夕阳红艺术团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中山市启创社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中山市石岐街道湖滨社区居民委员会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中山市东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街道东裕社区居民委员会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中山市小榄镇东区社区居民委员会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中山市大涌镇大涌社区居民委员会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中山市南头镇南城社区居民委员会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中山市民众街道民众社区居民委员会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中山市板芙镇板芙社区居民委员会</w:t>
      </w:r>
    </w:p>
    <w:p>
      <w:bookmarkStart w:id="0" w:name="_GoBack"/>
      <w:bookmarkEnd w:id="0"/>
    </w:p>
    <w:sectPr>
      <w:pgSz w:w="11906" w:h="16838"/>
      <w:pgMar w:top="2211" w:right="850" w:bottom="1871" w:left="85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7CFDB0"/>
    <w:multiLevelType w:val="singleLevel"/>
    <w:tmpl w:val="E67CFDB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3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0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1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2022-04-15T08:29:02Z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